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3"/>
        <w:rPr>
          <w:rFonts w:ascii="Century Gothic" w:cs="Century Gothic" w:hAnsi="Century Gothic" w:eastAsia="Century Gothic"/>
          <w:sz w:val="20"/>
          <w:szCs w:val="20"/>
        </w:rPr>
      </w:pPr>
      <w:r>
        <w:rPr>
          <w:sz w:val="80"/>
          <w:szCs w:val="80"/>
          <w:rtl w:val="0"/>
          <w:lang w:val="en-US"/>
        </w:rPr>
        <w:t>Jon Barker</w:t>
      </w:r>
      <w:r>
        <w:rPr>
          <w:rFonts w:ascii="Wide Latin" w:cs="Wide Latin" w:hAnsi="Wide Latin" w:eastAsia="Wide Latin"/>
          <w:sz w:val="78"/>
          <w:szCs w:val="78"/>
          <w:rtl w:val="0"/>
          <w:lang w:val="en-US"/>
        </w:rPr>
        <w:t xml:space="preserve"> </w:t>
      </w:r>
      <w:r>
        <w:rPr>
          <w:rFonts w:ascii="Century Gothic" w:hAnsi="Century Gothic"/>
          <w:sz w:val="16"/>
          <w:szCs w:val="16"/>
          <w:rtl w:val="0"/>
          <w:lang w:val="en-US"/>
        </w:rPr>
        <w:t>AEA/SAG-AFTRA</w:t>
      </w:r>
      <w:r>
        <w:rPr>
          <w:rFonts w:ascii="Century Gothic" w:cs="Century Gothic" w:hAnsi="Century Gothic" w:eastAsia="Century Gothic"/>
          <w:sz w:val="16"/>
          <w:szCs w:val="1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5661178</wp:posOffset>
            </wp:positionH>
            <wp:positionV relativeFrom="page">
              <wp:posOffset>107541</wp:posOffset>
            </wp:positionV>
            <wp:extent cx="1019141" cy="15287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Commercial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ommercial copy.jpg" descr="Commercial co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41" cy="1528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ide Latin" w:cs="Wide Latin" w:hAnsi="Wide Latin" w:eastAsia="Wide Latin"/>
          <w:sz w:val="56"/>
          <w:szCs w:val="56"/>
        </w:rPr>
        <w:tab/>
        <w:tab/>
      </w:r>
    </w:p>
    <w:p>
      <w:pPr>
        <w:pStyle w:val="Heading 3"/>
        <w:rPr>
          <w:rFonts w:ascii="Century Gothic" w:cs="Century Gothic" w:hAnsi="Century Gothic" w:eastAsia="Century Gothic"/>
          <w:outline w:val="0"/>
          <w:color w:val="ff0000"/>
          <w:sz w:val="20"/>
          <w:szCs w:val="2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Heading 3"/>
        <w:rPr>
          <w:rStyle w:val="None"/>
          <w:rFonts w:ascii="Century Gothic" w:cs="Century Gothic" w:hAnsi="Century Gothic" w:eastAsia="Century Gothic"/>
          <w:b w:val="0"/>
          <w:bCs w:val="0"/>
          <w:sz w:val="20"/>
          <w:szCs w:val="20"/>
        </w:rPr>
      </w:pPr>
      <w:r>
        <w:rPr>
          <w:rFonts w:ascii="Century Gothic" w:hAnsi="Century Gothic"/>
          <w:sz w:val="20"/>
          <w:szCs w:val="20"/>
          <w:rtl w:val="0"/>
          <w:lang w:val="en-US"/>
        </w:rPr>
        <w:t xml:space="preserve">Contact: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"mailto:barkerjon@mac.com"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barkerjon@mac.com</w:t>
      </w:r>
      <w:r>
        <w:rPr/>
        <w:fldChar w:fldCharType="end" w:fldLock="0"/>
      </w:r>
      <w:r>
        <w:rPr>
          <w:rStyle w:val="None"/>
          <w:rFonts w:ascii="Century Gothic" w:cs="Century Gothic" w:hAnsi="Century Gothic" w:eastAsia="Century Gothic"/>
          <w:sz w:val="20"/>
          <w:szCs w:val="20"/>
        </w:rPr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917.853.1599</w:t>
        <w:tab/>
      </w:r>
      <w:r>
        <w:rPr>
          <w:rStyle w:val="None"/>
          <w:rFonts w:ascii="Century Gothic" w:hAnsi="Century Gothic"/>
          <w:b w:val="0"/>
          <w:bCs w:val="0"/>
          <w:sz w:val="20"/>
          <w:szCs w:val="20"/>
          <w:rtl w:val="0"/>
          <w:lang w:val="en-US"/>
        </w:rPr>
        <w:t>www.barkerjon.actor</w:t>
      </w:r>
      <w:r>
        <w:rPr>
          <w:rStyle w:val="None"/>
          <w:rFonts w:ascii="Century Gothic" w:cs="Century Gothic" w:hAnsi="Century Gothic" w:eastAsia="Century Gothic"/>
          <w:sz w:val="20"/>
          <w:szCs w:val="20"/>
        </w:rPr>
        <w:tab/>
      </w:r>
      <w:r>
        <w:rPr>
          <w:rStyle w:val="None"/>
          <w:rFonts w:ascii="Century Gothic" w:cs="Century Gothic" w:hAnsi="Century Gothic" w:eastAsia="Century Gothic"/>
          <w:b w:val="0"/>
          <w:bCs w:val="0"/>
          <w:sz w:val="20"/>
          <w:szCs w:val="20"/>
        </w:rPr>
        <w:tab/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</w:p>
    <w:p>
      <w:pPr>
        <w:pStyle w:val="Normal.0"/>
        <w:rPr>
          <w:rStyle w:val="None"/>
          <w:rFonts w:ascii="Century Gothic" w:cs="Century Gothic" w:hAnsi="Century Gothic" w:eastAsia="Century Gothic"/>
          <w:sz w:val="18"/>
          <w:szCs w:val="18"/>
        </w:rPr>
      </w:pPr>
      <w:r>
        <w:rPr>
          <w:rStyle w:val="None"/>
          <w:rFonts w:ascii="Century Gothic" w:hAnsi="Century Gothic"/>
          <w:b w:val="1"/>
          <w:bCs w:val="1"/>
          <w:sz w:val="18"/>
          <w:szCs w:val="18"/>
          <w:rtl w:val="0"/>
          <w:lang w:val="en-US"/>
        </w:rPr>
        <w:t>Eyes:</w:t>
      </w: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 xml:space="preserve"> Blue</w:t>
        <w:tab/>
      </w:r>
      <w:r>
        <w:rPr>
          <w:rStyle w:val="None"/>
          <w:rFonts w:ascii="Century Gothic" w:hAnsi="Century Gothic"/>
          <w:b w:val="1"/>
          <w:bCs w:val="1"/>
          <w:sz w:val="18"/>
          <w:szCs w:val="18"/>
          <w:rtl w:val="0"/>
          <w:lang w:val="en-US"/>
        </w:rPr>
        <w:t>Hair:</w:t>
      </w: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 xml:space="preserve"> Light Brown</w:t>
        <w:tab/>
        <w:tab/>
      </w:r>
      <w:r>
        <w:rPr>
          <w:rStyle w:val="None"/>
          <w:rFonts w:ascii="Century Gothic" w:hAnsi="Century Gothic"/>
          <w:b w:val="1"/>
          <w:bCs w:val="1"/>
          <w:sz w:val="18"/>
          <w:szCs w:val="18"/>
          <w:rtl w:val="0"/>
          <w:lang w:val="en-US"/>
        </w:rPr>
        <w:t>Ht:</w:t>
      </w: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 xml:space="preserve"> 6</w:t>
      </w:r>
      <w:r>
        <w:rPr>
          <w:rStyle w:val="None"/>
          <w:rFonts w:ascii="Century Gothic" w:hAnsi="Century Gothic" w:hint="default"/>
          <w:sz w:val="18"/>
          <w:szCs w:val="18"/>
          <w:rtl w:val="0"/>
          <w:lang w:val="en-US"/>
        </w:rPr>
        <w:t>’</w:t>
      </w: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>1</w:t>
        <w:tab/>
        <w:tab/>
      </w:r>
      <w:r>
        <w:rPr>
          <w:rStyle w:val="None"/>
          <w:rFonts w:ascii="Century Gothic" w:hAnsi="Century Gothic"/>
          <w:b w:val="1"/>
          <w:bCs w:val="1"/>
          <w:sz w:val="18"/>
          <w:szCs w:val="18"/>
          <w:rtl w:val="0"/>
          <w:lang w:val="en-US"/>
        </w:rPr>
        <w:t xml:space="preserve">Wt: </w:t>
      </w: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>175 lbs.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18"/>
          <w:szCs w:val="18"/>
        </w:rPr>
      </w:pPr>
      <w:r>
        <w:rPr>
          <w:rStyle w:val="None"/>
          <w:rFonts w:ascii="Century Gothic" w:cs="Century Gothic" w:hAnsi="Century Gothic" w:eastAsia="Century Gothic"/>
          <w:sz w:val="18"/>
          <w:szCs w:val="18"/>
        </w:rPr>
        <w:tab/>
        <w:tab/>
        <w:tab/>
        <w:tab/>
        <w:tab/>
      </w:r>
    </w:p>
    <w:p>
      <w:pPr>
        <w:pStyle w:val="Normal.0"/>
        <w:rPr>
          <w:rStyle w:val="None"/>
          <w:rFonts w:ascii="Century Gothic" w:cs="Century Gothic" w:hAnsi="Century Gothic" w:eastAsia="Century Gothic"/>
          <w:b w:val="1"/>
          <w:bCs w:val="1"/>
          <w:u w:val="single"/>
        </w:rPr>
      </w:pPr>
      <w:r>
        <w:rPr>
          <w:rStyle w:val="None"/>
          <w:rFonts w:ascii="Century Gothic" w:hAnsi="Century Gothic"/>
          <w:b w:val="1"/>
          <w:bCs w:val="1"/>
          <w:u w:val="single"/>
          <w:rtl w:val="0"/>
          <w:lang w:val="en-US"/>
        </w:rPr>
        <w:t>NY and Regional Theater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Shakespeare Theatre of NJ</w:t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The Winter</w:t>
      </w:r>
      <w:r>
        <w:rPr>
          <w:rStyle w:val="None"/>
          <w:rFonts w:ascii="Century Gothic" w:hAnsi="Century Gothic" w:hint="default"/>
          <w:i w:val="1"/>
          <w:iCs w:val="1"/>
          <w:sz w:val="20"/>
          <w:szCs w:val="20"/>
          <w:rtl w:val="0"/>
          <w:lang w:val="en-US"/>
        </w:rPr>
        <w:t>’</w:t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s Tale</w:t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ab/>
        <w:tab/>
        <w:t>Leontes</w:t>
        <w:tab/>
        <w:tab/>
        <w:t>dir. Bonnie J. Monte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cs="Century Gothic" w:hAnsi="Century Gothic" w:eastAsia="Century Gothic"/>
          <w:sz w:val="20"/>
          <w:szCs w:val="20"/>
        </w:rPr>
        <w:tab/>
        <w:tab/>
        <w:tab/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Shakespeare in Love</w:t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ab/>
        <w:tab/>
        <w:t>Will</w:t>
        <w:tab/>
        <w:tab/>
        <w:tab/>
        <w:t>dir. Bonnie J. Monte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cs="Century Gothic" w:hAnsi="Century Gothic" w:eastAsia="Century Gothic"/>
          <w:sz w:val="20"/>
          <w:szCs w:val="20"/>
        </w:rPr>
        <w:tab/>
        <w:tab/>
        <w:tab/>
        <w:tab/>
      </w:r>
      <w:r>
        <w:rPr>
          <w:rStyle w:val="None"/>
          <w:rFonts w:ascii="Century Gothic" w:hAnsi="Century Gothic"/>
          <w:sz w:val="16"/>
          <w:szCs w:val="16"/>
          <w:rtl w:val="0"/>
          <w:lang w:val="en-US"/>
        </w:rPr>
        <w:t xml:space="preserve">The </w:t>
      </w:r>
      <w:r>
        <w:rPr>
          <w:rStyle w:val="None"/>
          <w:rFonts w:ascii="Century Gothic" w:hAnsi="Century Gothic"/>
          <w:i w:val="1"/>
          <w:iCs w:val="1"/>
          <w:sz w:val="16"/>
          <w:szCs w:val="16"/>
          <w:rtl w:val="0"/>
          <w:lang w:val="en-US"/>
        </w:rPr>
        <w:t>Complete Works of William Shakespeare</w:t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Jess</w:t>
        <w:tab/>
        <w:tab/>
        <w:tab/>
        <w:t>dir. Jeffrey M. Bender</w:t>
      </w:r>
    </w:p>
    <w:p>
      <w:pPr>
        <w:pStyle w:val="Normal.0"/>
        <w:rPr>
          <w:rStyle w:val="None"/>
          <w:rFonts w:ascii="Century Gothic" w:cs="Century Gothic" w:hAnsi="Century Gothic" w:eastAsia="Century Gothic"/>
          <w:b w:val="1"/>
          <w:bCs w:val="1"/>
          <w:sz w:val="20"/>
          <w:szCs w:val="20"/>
          <w:u w:val="single"/>
        </w:rPr>
      </w:pPr>
      <w:r>
        <w:rPr>
          <w:rStyle w:val="None"/>
          <w:rFonts w:ascii="Century Gothic" w:cs="Century Gothic" w:hAnsi="Century Gothic" w:eastAsia="Century Gothic"/>
          <w:sz w:val="20"/>
          <w:szCs w:val="20"/>
        </w:rPr>
        <w:tab/>
        <w:tab/>
        <w:tab/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Exit the King</w:t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ab/>
        <w:tab/>
        <w:tab/>
        <w:t>Guard</w:t>
        <w:tab/>
        <w:tab/>
        <w:tab/>
        <w:t>dir. Bonnie J. Monte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Colorado Theatreworks</w:t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The Girl of the Golden West</w:t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ab/>
        <w:t>Sheriff Jack Rance</w:t>
        <w:tab/>
        <w:t>dir. Murray Ross</w:t>
      </w:r>
    </w:p>
    <w:p>
      <w:pPr>
        <w:pStyle w:val="Normal.0"/>
        <w:rPr>
          <w:rStyle w:val="None"/>
          <w:rFonts w:ascii="Century Gothic" w:cs="Century Gothic" w:hAnsi="Century Gothic" w:eastAsia="Century Gothic"/>
          <w:b w:val="1"/>
          <w:bCs w:val="1"/>
          <w:sz w:val="20"/>
          <w:szCs w:val="20"/>
          <w:u w:val="single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Shakespeare Theatre of NJ</w:t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The Merry Wives of Windsor</w:t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Doctor Caius</w:t>
        <w:tab/>
        <w:tab/>
        <w:t>dir. Bonnie J. Monte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NJ Symphony Orchestra</w:t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Romeo and Juliet</w:t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ab/>
        <w:tab/>
        <w:t>Mercutio</w:t>
        <w:tab/>
        <w:tab/>
        <w:t>dir. Bonnie J. Monte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Shakespeare Theatre of NJ</w:t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The Alchemist</w:t>
        <w:tab/>
        <w:tab/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Face</w:t>
        <w:tab/>
        <w:tab/>
        <w:tab/>
        <w:t>dir. Bonnie J. Monte</w:t>
      </w:r>
    </w:p>
    <w:p>
      <w:pPr>
        <w:pStyle w:val="Normal.0"/>
        <w:ind w:left="1440" w:firstLine="72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cs="Century Gothic" w:hAnsi="Century Gothic" w:eastAsia="Century Gothic"/>
          <w:sz w:val="20"/>
          <w:szCs w:val="20"/>
        </w:rPr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The Tempest</w:t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ab/>
        <w:tab/>
        <w:tab/>
        <w:t>Caliban</w:t>
        <w:tab/>
        <w:tab/>
        <w:t>dir. Bonnie J. Monte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Colorado Theatreworks</w:t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Venus In Fur</w:t>
        <w:tab/>
        <w:tab/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Thomas</w:t>
        <w:tab/>
        <w:tab/>
        <w:t>dir. Murray Ross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Shakespeare Theatre of NJ</w:t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Pericles</w:t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 xml:space="preserve"> </w:t>
      </w:r>
      <w:r>
        <w:rPr>
          <w:rStyle w:val="None"/>
          <w:rFonts w:ascii="Century Gothic" w:cs="Century Gothic" w:hAnsi="Century Gothic" w:eastAsia="Century Gothic"/>
          <w:i w:val="1"/>
          <w:iCs w:val="1"/>
          <w:sz w:val="20"/>
          <w:szCs w:val="20"/>
        </w:rPr>
        <w:tab/>
        <w:tab/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Pericles</w:t>
        <w:tab/>
        <w:tab/>
        <w:t>dir. Brian B. Crowe</w:t>
      </w:r>
    </w:p>
    <w:p>
      <w:pPr>
        <w:pStyle w:val="Normal.0"/>
        <w:ind w:left="2160" w:firstLine="72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Tovarich</w:t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ab/>
        <w:tab/>
        <w:tab/>
        <w:t>Prince Mikhail</w:t>
        <w:tab/>
        <w:tab/>
        <w:t xml:space="preserve">dir. Bonnie Monte 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Colorado Theatreworks</w:t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The Wild Duck</w:t>
        <w:tab/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ab/>
        <w:tab/>
        <w:t>Gregers</w:t>
        <w:tab/>
        <w:tab/>
        <w:t>dir. Murray Ross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Strangedog Theatre Co.</w:t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Omnivores</w:t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ab/>
        <w:tab/>
        <w:tab/>
        <w:t>Cole</w:t>
        <w:tab/>
        <w:tab/>
        <w:tab/>
        <w:t>dir. Artem Yatsunov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NJ Symphony Orchestra</w:t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The Tempest</w:t>
        <w:tab/>
        <w:tab/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Caliban</w:t>
        <w:tab/>
        <w:tab/>
        <w:t>dir. Bonnie J. Monte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Shakespeare Theatre of NJ</w:t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Trelawny of the Wells</w:t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ab/>
        <w:tab/>
        <w:t>Ferdinand Gadd</w:t>
        <w:tab/>
        <w:t>dir. Bonnie J. Monte</w:t>
      </w:r>
    </w:p>
    <w:p>
      <w:pPr>
        <w:pStyle w:val="Normal.0"/>
        <w:ind w:left="2160" w:firstLine="72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Henry IV Part One</w:t>
        <w:tab/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Hotspur</w:t>
        <w:tab/>
        <w:tab/>
        <w:t>dir. Joe Discher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Luna Stage</w:t>
        <w:tab/>
        <w:tab/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The Dangers of Electric Lighting</w:t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Nikola Tesla</w:t>
      </w:r>
      <w:r>
        <w:rPr>
          <w:rStyle w:val="None"/>
          <w:rFonts w:ascii="Century Gothic" w:cs="Century Gothic" w:hAnsi="Century Gothic" w:eastAsia="Century Gothic"/>
          <w:i w:val="1"/>
          <w:iCs w:val="1"/>
          <w:sz w:val="20"/>
          <w:szCs w:val="20"/>
        </w:rPr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dir. John Henry D</w:t>
      </w:r>
      <w:r>
        <w:rPr>
          <w:rStyle w:val="None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175201</wp:posOffset>
                </wp:positionH>
                <wp:positionV relativeFrom="page">
                  <wp:posOffset>1573527</wp:posOffset>
                </wp:positionV>
                <wp:extent cx="5406053" cy="11927"/>
                <wp:effectExtent l="0" t="0" r="0" b="0"/>
                <wp:wrapThrough wrapText="bothSides" distL="152400" distR="152400">
                  <wp:wrapPolygon edited="1">
                    <wp:start x="0" y="-23001"/>
                    <wp:lineTo x="0" y="23001"/>
                    <wp:lineTo x="21601" y="44601"/>
                    <wp:lineTo x="21601" y="-1400"/>
                    <wp:lineTo x="0" y="-23001"/>
                  </wp:wrapPolygon>
                </wp:wrapThrough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053" cy="11927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3.8pt;margin-top:123.9pt;width:425.7pt;height:0.9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line>
            </w:pict>
          </mc:Fallback>
        </mc:AlternateContent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avis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Shakespeare Theatre of NJ</w:t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 xml:space="preserve"> </w:t>
        <w:tab/>
        <w:t xml:space="preserve">Othello </w:t>
      </w:r>
      <w:r>
        <w:rPr>
          <w:rStyle w:val="None"/>
          <w:rFonts w:ascii="Century Gothic" w:hAnsi="Century Gothic"/>
          <w:b w:val="1"/>
          <w:bCs w:val="1"/>
          <w:i w:val="1"/>
          <w:iCs w:val="1"/>
          <w:sz w:val="16"/>
          <w:szCs w:val="16"/>
          <w:rtl w:val="0"/>
          <w:lang w:val="en-US"/>
        </w:rPr>
        <w:t>w/Robert Cuccioli</w:t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ab/>
        <w:tab/>
        <w:t>Cassio</w:t>
        <w:tab/>
        <w:tab/>
        <w:tab/>
        <w:t>dir. Bonnie J. Monte</w:t>
        <w:tab/>
        <w:tab/>
        <w:tab/>
        <w:tab/>
        <w:tab/>
        <w:tab/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The Misanthrope</w:t>
        <w:tab/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Philinte</w:t>
        <w:tab/>
        <w:tab/>
        <w:tab/>
        <w:t>dir. Bonnie J. Monte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cs="Century Gothic" w:hAnsi="Century Gothic" w:eastAsia="Century Gothic"/>
          <w:sz w:val="20"/>
          <w:szCs w:val="20"/>
        </w:rPr>
        <w:tab/>
        <w:tab/>
        <w:tab/>
        <w:tab/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All</w:t>
      </w:r>
      <w:r>
        <w:rPr>
          <w:rStyle w:val="None"/>
          <w:rFonts w:ascii="Century Gothic" w:hAnsi="Century Gothic" w:hint="default"/>
          <w:i w:val="1"/>
          <w:iCs w:val="1"/>
          <w:sz w:val="20"/>
          <w:szCs w:val="20"/>
          <w:rtl w:val="0"/>
          <w:lang w:val="en-US"/>
        </w:rPr>
        <w:t>’</w:t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 xml:space="preserve">s Well That Ends Well </w:t>
      </w:r>
      <w:r>
        <w:rPr>
          <w:rStyle w:val="None"/>
          <w:rFonts w:ascii="Century Gothic" w:hAnsi="Century Gothic"/>
          <w:b w:val="1"/>
          <w:bCs w:val="1"/>
          <w:i w:val="1"/>
          <w:iCs w:val="1"/>
          <w:sz w:val="16"/>
          <w:szCs w:val="16"/>
          <w:rtl w:val="0"/>
          <w:lang w:val="en-US"/>
        </w:rPr>
        <w:t>w/Tamara Tunie</w:t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Dumaine</w:t>
        <w:tab/>
        <w:tab/>
        <w:t>dir. Stephen Brown-Fried</w:t>
      </w:r>
    </w:p>
    <w:p>
      <w:pPr>
        <w:pStyle w:val="Normal.0"/>
        <w:rPr>
          <w:rStyle w:val="None"/>
          <w:rFonts w:ascii="Century Gothic" w:cs="Century Gothic" w:hAnsi="Century Gothic" w:eastAsia="Century Gothic"/>
          <w:i w:val="1"/>
          <w:iCs w:val="1"/>
          <w:sz w:val="20"/>
          <w:szCs w:val="20"/>
        </w:rPr>
      </w:pPr>
      <w:r>
        <w:rPr>
          <w:rStyle w:val="None"/>
          <w:rFonts w:ascii="Century Gothic" w:cs="Century Gothic" w:hAnsi="Century Gothic" w:eastAsia="Century Gothic"/>
          <w:i w:val="1"/>
          <w:iCs w:val="1"/>
          <w:sz w:val="20"/>
          <w:szCs w:val="20"/>
          <w:rtl w:val="0"/>
        </w:rPr>
        <w:tab/>
        <w:tab/>
        <w:tab/>
        <w:tab/>
        <w:t>The Taming of the Shrew</w:t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Tranio</w:t>
        <w:tab/>
        <w:tab/>
        <w:tab/>
        <w:t>dir. Bonnie J. Monte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cs="Century Gothic" w:hAnsi="Century Gothic" w:eastAsia="Century Gothic"/>
          <w:i w:val="1"/>
          <w:iCs w:val="1"/>
          <w:sz w:val="20"/>
          <w:szCs w:val="20"/>
          <w:rtl w:val="0"/>
        </w:rPr>
        <w:tab/>
        <w:tab/>
        <w:tab/>
        <w:tab/>
        <w:t>Twelfth Night</w:t>
        <w:tab/>
        <w:tab/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Fabian</w:t>
        <w:tab/>
        <w:tab/>
        <w:tab/>
        <w:t>dir. Bonnie J. Monte</w:t>
      </w:r>
    </w:p>
    <w:p>
      <w:pPr>
        <w:pStyle w:val="Normal.0"/>
        <w:rPr>
          <w:rStyle w:val="None"/>
          <w:rFonts w:ascii="Century Gothic" w:cs="Century Gothic" w:hAnsi="Century Gothic" w:eastAsia="Century Gothic"/>
          <w:i w:val="1"/>
          <w:iCs w:val="1"/>
          <w:sz w:val="20"/>
          <w:szCs w:val="20"/>
        </w:rPr>
      </w:pPr>
      <w:r>
        <w:rPr>
          <w:rStyle w:val="None"/>
          <w:rFonts w:ascii="Century Gothic" w:cs="Century Gothic" w:hAnsi="Century Gothic" w:eastAsia="Century Gothic"/>
          <w:i w:val="1"/>
          <w:iCs w:val="1"/>
          <w:sz w:val="20"/>
          <w:szCs w:val="20"/>
          <w:rtl w:val="0"/>
        </w:rPr>
        <w:tab/>
        <w:tab/>
        <w:tab/>
        <w:tab/>
        <w:t>The School for Wives</w:t>
        <w:tab/>
        <w:tab/>
      </w:r>
      <w:r>
        <w:rPr>
          <w:rStyle w:val="None"/>
          <w:rFonts w:ascii="Century Gothic" w:cs="Century Gothic" w:hAnsi="Century Gothic" w:eastAsia="Century Gothic"/>
          <w:sz w:val="20"/>
          <w:szCs w:val="20"/>
          <w:rtl w:val="0"/>
        </w:rPr>
        <w:tab/>
        <w:t>Horace</w:t>
        <w:tab/>
        <w:tab/>
        <w:t>dir. Brian B. Crowe</w:t>
      </w:r>
    </w:p>
    <w:p>
      <w:pPr>
        <w:pStyle w:val="Normal.0"/>
        <w:ind w:left="2160" w:firstLine="72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The Winter</w:t>
      </w:r>
      <w:r>
        <w:rPr>
          <w:rStyle w:val="None"/>
          <w:rFonts w:ascii="Century Gothic" w:hAnsi="Century Gothic" w:hint="default"/>
          <w:i w:val="1"/>
          <w:iCs w:val="1"/>
          <w:sz w:val="20"/>
          <w:szCs w:val="20"/>
          <w:rtl w:val="0"/>
          <w:lang w:val="en-US"/>
        </w:rPr>
        <w:t>’</w:t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s Tale</w:t>
        <w:tab/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Cleomenes</w:t>
        <w:tab/>
        <w:tab/>
        <w:t>dir. Brian B. Crowe</w:t>
      </w:r>
    </w:p>
    <w:p>
      <w:pPr>
        <w:pStyle w:val="Normal.0"/>
        <w:ind w:left="2160" w:firstLine="720"/>
        <w:rPr>
          <w:rStyle w:val="None"/>
          <w:sz w:val="22"/>
          <w:szCs w:val="22"/>
        </w:rPr>
      </w:pP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Romeo and Juliet</w:t>
        <w:tab/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Paris</w:t>
        <w:tab/>
        <w:tab/>
        <w:tab/>
        <w:t>dir. David Kennedy</w:t>
      </w:r>
    </w:p>
    <w:p>
      <w:pPr>
        <w:pStyle w:val="Normal.0"/>
        <w:rPr>
          <w:rStyle w:val="None"/>
          <w:rFonts w:ascii="Century Gothic" w:cs="Century Gothic" w:hAnsi="Century Gothic" w:eastAsia="Century Gothic"/>
          <w:b w:val="1"/>
          <w:bCs w:val="1"/>
          <w:sz w:val="22"/>
          <w:szCs w:val="22"/>
          <w:u w:val="single"/>
        </w:rPr>
      </w:pPr>
    </w:p>
    <w:p>
      <w:pPr>
        <w:pStyle w:val="Normal.0"/>
        <w:rPr>
          <w:rStyle w:val="None"/>
          <w:rFonts w:ascii="Century Gothic" w:cs="Century Gothic" w:hAnsi="Century Gothic" w:eastAsia="Century Gothic"/>
          <w:b w:val="1"/>
          <w:bCs w:val="1"/>
          <w:u w:val="single"/>
        </w:rPr>
      </w:pPr>
      <w:r>
        <w:rPr>
          <w:rStyle w:val="None"/>
          <w:rFonts w:ascii="Century Gothic" w:hAnsi="Century Gothic"/>
          <w:b w:val="1"/>
          <w:bCs w:val="1"/>
          <w:u w:val="single"/>
          <w:rtl w:val="0"/>
          <w:lang w:val="en-US"/>
        </w:rPr>
        <w:t>Film &amp; TV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Discovery ID Channel</w:t>
        <w:tab/>
        <w:tab/>
        <w:t>Scorned: Love Kills Ep. 115</w:t>
        <w:tab/>
        <w:tab/>
        <w:t>Larry Ford</w:t>
        <w:tab/>
        <w:tab/>
        <w:t>dir. Remy Weber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Strangedog Films</w:t>
        <w:tab/>
        <w:tab/>
        <w:t>Pluto</w:t>
        <w:tab/>
        <w:tab/>
        <w:tab/>
        <w:tab/>
        <w:tab/>
        <w:t>Greg</w:t>
        <w:tab/>
        <w:tab/>
        <w:tab/>
        <w:t>dir. Ari Frenkel</w:t>
      </w:r>
    </w:p>
    <w:p>
      <w:pPr>
        <w:pStyle w:val="Normal.0"/>
        <w:rPr>
          <w:rStyle w:val="None"/>
          <w:rFonts w:ascii="Century Gothic" w:cs="Century Gothic" w:hAnsi="Century Gothic" w:eastAsia="Century Gothic"/>
        </w:rPr>
      </w:pPr>
    </w:p>
    <w:p>
      <w:pPr>
        <w:pStyle w:val="Normal.0"/>
        <w:rPr>
          <w:rStyle w:val="None"/>
          <w:rFonts w:ascii="Century Gothic" w:cs="Century Gothic" w:hAnsi="Century Gothic" w:eastAsia="Century Gothic"/>
          <w:b w:val="1"/>
          <w:bCs w:val="1"/>
          <w:u w:val="single"/>
        </w:rPr>
      </w:pPr>
      <w:r>
        <w:rPr>
          <w:rStyle w:val="None"/>
          <w:rFonts w:ascii="Century Gothic" w:hAnsi="Century Gothic"/>
          <w:b w:val="1"/>
          <w:bCs w:val="1"/>
          <w:u w:val="single"/>
          <w:rtl w:val="0"/>
          <w:lang w:val="en-US"/>
        </w:rPr>
        <w:t>Tour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Shakespeare</w:t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LIVE!</w:t>
        <w:tab/>
        <w:tab/>
        <w:t>A Midsummer Night</w:t>
      </w:r>
      <w:r>
        <w:rPr>
          <w:rStyle w:val="None"/>
          <w:rFonts w:ascii="Century Gothic" w:hAnsi="Century Gothic" w:hint="default"/>
          <w:i w:val="1"/>
          <w:iCs w:val="1"/>
          <w:sz w:val="20"/>
          <w:szCs w:val="20"/>
          <w:rtl w:val="0"/>
          <w:lang w:val="en-US"/>
        </w:rPr>
        <w:t>’</w:t>
      </w: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s Dream</w:t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Lysander/Flute</w:t>
        <w:tab/>
        <w:tab/>
        <w:t>dir. Stephen Brown-Fried</w:t>
      </w:r>
    </w:p>
    <w:p>
      <w:pPr>
        <w:pStyle w:val="Normal.0"/>
        <w:ind w:left="2160" w:firstLine="72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Macbeth</w:t>
        <w:tab/>
        <w:tab/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Porter/Seyton</w:t>
        <w:tab/>
        <w:tab/>
        <w:t>dir. Stephen Brown-Fried</w:t>
      </w:r>
    </w:p>
    <w:p>
      <w:pPr>
        <w:pStyle w:val="Normal.0"/>
        <w:ind w:left="2160" w:firstLine="720"/>
        <w:rPr>
          <w:rStyle w:val="None"/>
          <w:rFonts w:ascii="Century Gothic" w:cs="Century Gothic" w:hAnsi="Century Gothic" w:eastAsia="Century Gothic"/>
          <w:sz w:val="20"/>
          <w:szCs w:val="20"/>
        </w:rPr>
      </w:pPr>
      <w:r>
        <w:rPr>
          <w:rStyle w:val="None"/>
          <w:rFonts w:ascii="Century Gothic" w:hAnsi="Century Gothic"/>
          <w:i w:val="1"/>
          <w:iCs w:val="1"/>
          <w:sz w:val="20"/>
          <w:szCs w:val="20"/>
          <w:rtl w:val="0"/>
          <w:lang w:val="en-US"/>
        </w:rPr>
        <w:t>Nevermore</w:t>
        <w:tab/>
        <w:tab/>
        <w:tab/>
        <w:tab/>
      </w:r>
      <w:r>
        <w:rPr>
          <w:rStyle w:val="None"/>
          <w:rFonts w:ascii="Century Gothic" w:hAnsi="Century Gothic"/>
          <w:sz w:val="20"/>
          <w:szCs w:val="20"/>
          <w:rtl w:val="0"/>
          <w:lang w:val="en-US"/>
        </w:rPr>
        <w:t>Edgar</w:t>
        <w:tab/>
        <w:tab/>
        <w:tab/>
        <w:t>dir. Brian B. Crowe</w:t>
      </w:r>
    </w:p>
    <w:p>
      <w:pPr>
        <w:pStyle w:val="Normal.0"/>
        <w:rPr>
          <w:rStyle w:val="None"/>
          <w:rFonts w:ascii="Century Gothic" w:cs="Century Gothic" w:hAnsi="Century Gothic" w:eastAsia="Century Gothic"/>
          <w:b w:val="1"/>
          <w:bCs w:val="1"/>
          <w:sz w:val="20"/>
          <w:szCs w:val="20"/>
          <w:u w:val="single"/>
        </w:rPr>
      </w:pPr>
    </w:p>
    <w:p>
      <w:pPr>
        <w:pStyle w:val="Normal.0"/>
        <w:rPr>
          <w:rStyle w:val="None"/>
          <w:rFonts w:ascii="Century Gothic" w:cs="Century Gothic" w:hAnsi="Century Gothic" w:eastAsia="Century Gothic"/>
          <w:sz w:val="18"/>
          <w:szCs w:val="18"/>
        </w:rPr>
      </w:pPr>
      <w:r>
        <w:rPr>
          <w:rStyle w:val="None"/>
          <w:rFonts w:ascii="Century Gothic" w:hAnsi="Century Gothic"/>
          <w:b w:val="1"/>
          <w:bCs w:val="1"/>
          <w:sz w:val="18"/>
          <w:szCs w:val="18"/>
          <w:u w:val="single"/>
          <w:rtl w:val="0"/>
          <w:lang w:val="en-US"/>
        </w:rPr>
        <w:t>Training</w:t>
      </w:r>
      <w:r>
        <w:rPr>
          <w:rStyle w:val="None"/>
          <w:rFonts w:ascii="Century Gothic" w:cs="Century Gothic" w:hAnsi="Century Gothic" w:eastAsia="Century Gothic"/>
          <w:sz w:val="18"/>
          <w:szCs w:val="18"/>
        </w:rPr>
        <w:tab/>
        <w:tab/>
        <w:tab/>
        <w:tab/>
        <w:tab/>
        <w:tab/>
        <w:tab/>
        <w:tab/>
        <w:tab/>
      </w:r>
      <w:r>
        <w:rPr>
          <w:rStyle w:val="None"/>
          <w:rFonts w:ascii="Century Gothic" w:hAnsi="Century Gothic"/>
          <w:b w:val="1"/>
          <w:bCs w:val="1"/>
          <w:sz w:val="18"/>
          <w:szCs w:val="18"/>
          <w:u w:val="single"/>
          <w:rtl w:val="0"/>
          <w:lang w:val="en-US"/>
        </w:rPr>
        <w:t>Special Skills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18"/>
          <w:szCs w:val="18"/>
        </w:rPr>
      </w:pP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>On-Camera Technique</w:t>
        <w:tab/>
        <w:tab/>
        <w:t>Bob Krakower</w:t>
        <w:tab/>
        <w:tab/>
        <w:tab/>
        <w:tab/>
        <w:t xml:space="preserve">Carpentry: </w:t>
        <w:tab/>
        <w:tab/>
        <w:t>Professional (18 years)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18"/>
          <w:szCs w:val="18"/>
        </w:rPr>
      </w:pP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>Linklater Technique</w:t>
        <w:tab/>
        <w:tab/>
        <w:t>Liz Eckert</w:t>
        <w:tab/>
        <w:tab/>
        <w:tab/>
        <w:tab/>
        <w:t>Music:</w:t>
        <w:tab/>
        <w:tab/>
        <w:tab/>
        <w:t>Intermediate Guitar</w:t>
        <w:tab/>
        <w:tab/>
        <w:tab/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18"/>
          <w:szCs w:val="18"/>
        </w:rPr>
      </w:pP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>BFA Acting</w:t>
        <w:tab/>
        <w:tab/>
        <w:tab/>
        <w:t>Montclair State University</w:t>
      </w:r>
      <w:r>
        <w:rPr>
          <w:rStyle w:val="None"/>
          <w:rFonts w:ascii="Century Gothic" w:cs="Century Gothic" w:hAnsi="Century Gothic" w:eastAsia="Century Gothic"/>
          <w:i w:val="1"/>
          <w:iCs w:val="1"/>
          <w:sz w:val="18"/>
          <w:szCs w:val="18"/>
        </w:rPr>
        <w:tab/>
        <w:tab/>
      </w: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>Dialects:</w:t>
        <w:tab/>
        <w:tab/>
        <w:t>Irish, British RP, Southern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18"/>
          <w:szCs w:val="18"/>
        </w:rPr>
      </w:pP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>Acting</w:t>
        <w:tab/>
        <w:tab/>
        <w:tab/>
        <w:tab/>
        <w:t xml:space="preserve">Suzanne Trauth, Susan Kerner </w:t>
        <w:tab/>
        <w:tab/>
        <w:t>Combat:</w:t>
        <w:tab/>
        <w:tab/>
        <w:t>Armed and Unarmed</w:t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18"/>
          <w:szCs w:val="18"/>
        </w:rPr>
      </w:pP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>Shakespeare</w:t>
        <w:tab/>
        <w:tab/>
        <w:tab/>
        <w:t>Jorge Cachiero, Geoffrey Owens</w:t>
        <w:tab/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18"/>
          <w:szCs w:val="18"/>
        </w:rPr>
      </w:pP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>Voice/Speech/Dialects</w:t>
        <w:tab/>
        <w:tab/>
        <w:t xml:space="preserve">Diane Zaremba, Lenore Harris </w:t>
        <w:tab/>
        <w:tab/>
      </w:r>
    </w:p>
    <w:p>
      <w:pPr>
        <w:pStyle w:val="Normal.0"/>
        <w:rPr>
          <w:rStyle w:val="None"/>
          <w:rFonts w:ascii="Century Gothic" w:cs="Century Gothic" w:hAnsi="Century Gothic" w:eastAsia="Century Gothic"/>
          <w:sz w:val="18"/>
          <w:szCs w:val="18"/>
        </w:rPr>
      </w:pP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>Movement/Viewpoints</w:t>
        <w:tab/>
        <w:tab/>
        <w:t>Ruth Clark, Christian Ely</w:t>
      </w:r>
    </w:p>
    <w:p>
      <w:pPr>
        <w:pStyle w:val="Normal.0"/>
      </w:pPr>
      <w:r>
        <w:rPr>
          <w:rStyle w:val="None"/>
          <w:rFonts w:ascii="Century Gothic" w:hAnsi="Century Gothic"/>
          <w:sz w:val="18"/>
          <w:szCs w:val="18"/>
          <w:rtl w:val="0"/>
          <w:lang w:val="en-US"/>
        </w:rPr>
        <w:t>Stage Combat</w:t>
        <w:tab/>
        <w:tab/>
        <w:tab/>
        <w:t>Rick Sordelet, Joseph Daly</w:t>
      </w:r>
    </w:p>
    <w:sectPr>
      <w:headerReference w:type="default" r:id="rId5"/>
      <w:footerReference w:type="default" r:id="rId6"/>
      <w:pgSz w:w="12240" w:h="15840" w:orient="portrait"/>
      <w:pgMar w:top="216" w:right="360" w:bottom="720" w:left="216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  <w:font w:name="Wide Latin">
    <w:charset w:val="00"/>
    <w:family w:val="roman"/>
    <w:pitch w:val="default"/>
  </w:font>
  <w:font w:name="Century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3">
    <w:name w:val="Heading 3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Times" w:cs="Arial Unicode MS" w:hAnsi="Time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" w:cs="Arial Unicode MS" w:hAnsi="Time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Century Gothic" w:cs="Century Gothic" w:hAnsi="Century Gothic" w:eastAsia="Century Gothic"/>
      <w:outline w:val="0"/>
      <w:color w:val="0000ff"/>
      <w:sz w:val="20"/>
      <w:szCs w:val="20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